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B14AD" w14:textId="6BC09498" w:rsidR="006C452F" w:rsidRPr="00350BE2" w:rsidRDefault="006C452F" w:rsidP="006C452F">
      <w:pPr>
        <w:rPr>
          <w:rFonts w:ascii="Arial" w:hAnsi="Arial"/>
          <w:b/>
          <w:bCs/>
          <w:sz w:val="24"/>
          <w:szCs w:val="24"/>
        </w:rPr>
      </w:pPr>
      <w:r w:rsidRPr="00350BE2">
        <w:rPr>
          <w:rFonts w:ascii="Arial" w:hAnsi="Arial"/>
          <w:b/>
          <w:bCs/>
          <w:sz w:val="24"/>
          <w:szCs w:val="24"/>
        </w:rPr>
        <w:t>Stewardship</w:t>
      </w:r>
    </w:p>
    <w:p w14:paraId="11152118" w14:textId="77777777" w:rsidR="006C452F" w:rsidRPr="00350BE2" w:rsidRDefault="006C452F" w:rsidP="006C452F">
      <w:pPr>
        <w:rPr>
          <w:rFonts w:ascii="Arial" w:hAnsi="Arial"/>
          <w:sz w:val="24"/>
          <w:szCs w:val="24"/>
        </w:rPr>
      </w:pPr>
      <w:r w:rsidRPr="00350BE2">
        <w:rPr>
          <w:rFonts w:ascii="Arial" w:hAnsi="Arial"/>
          <w:sz w:val="24"/>
          <w:szCs w:val="24"/>
        </w:rPr>
        <w:t xml:space="preserve">The Board commits to the responsible fiscal stewardship of public funds. This stewardship is characterized by open and transparent reporting of all financial processes, results, matters and related issues.  </w:t>
      </w:r>
    </w:p>
    <w:p w14:paraId="72A34CF0" w14:textId="77777777" w:rsidR="006C452F" w:rsidRPr="00350BE2" w:rsidRDefault="006C452F" w:rsidP="006C452F">
      <w:pPr>
        <w:rPr>
          <w:rFonts w:ascii="Arial" w:hAnsi="Arial"/>
          <w:sz w:val="24"/>
          <w:szCs w:val="24"/>
        </w:rPr>
      </w:pPr>
      <w:r w:rsidRPr="00350BE2">
        <w:rPr>
          <w:rFonts w:ascii="Arial" w:hAnsi="Arial"/>
          <w:sz w:val="24"/>
          <w:szCs w:val="24"/>
        </w:rPr>
        <w:t>Resources are managed in an efficient, effective and ethical manner in accordance with the Board’s vision, mission and values, and in compliance with The Public Schools Act and all other applicable legislation.</w:t>
      </w:r>
    </w:p>
    <w:p w14:paraId="7DCB8E5E" w14:textId="77777777" w:rsidR="006C452F" w:rsidRPr="00350BE2" w:rsidRDefault="006C452F" w:rsidP="006C452F">
      <w:pPr>
        <w:rPr>
          <w:rFonts w:ascii="Arial" w:hAnsi="Arial"/>
          <w:sz w:val="24"/>
          <w:szCs w:val="24"/>
        </w:rPr>
      </w:pPr>
      <w:r w:rsidRPr="00350BE2">
        <w:rPr>
          <w:rFonts w:ascii="Arial" w:hAnsi="Arial"/>
          <w:sz w:val="24"/>
          <w:szCs w:val="24"/>
        </w:rPr>
        <w:t xml:space="preserve">The Secretary-Treasurer will ensure that the Division operates its annual financial affairs in accordance with generally accepted accounting principles and all requirements of The Public Schools Act.  The Secretary-Treasurer will keep the Board apprised of its financial position through the provision of operating statements on </w:t>
      </w:r>
      <w:proofErr w:type="spellStart"/>
      <w:proofErr w:type="gramStart"/>
      <w:r w:rsidRPr="00350BE2">
        <w:rPr>
          <w:rFonts w:ascii="Arial" w:hAnsi="Arial"/>
          <w:sz w:val="24"/>
          <w:szCs w:val="24"/>
        </w:rPr>
        <w:t>a</w:t>
      </w:r>
      <w:proofErr w:type="spellEnd"/>
      <w:proofErr w:type="gramEnd"/>
      <w:r w:rsidRPr="00350BE2">
        <w:rPr>
          <w:rFonts w:ascii="Arial" w:hAnsi="Arial"/>
          <w:sz w:val="24"/>
          <w:szCs w:val="24"/>
        </w:rPr>
        <w:t xml:space="preserve"> ongoing basis or as requested.</w:t>
      </w:r>
    </w:p>
    <w:p w14:paraId="05219DAB" w14:textId="77777777" w:rsidR="006C452F" w:rsidRPr="00350BE2" w:rsidRDefault="006C452F" w:rsidP="006C452F">
      <w:pPr>
        <w:rPr>
          <w:rFonts w:ascii="Arial" w:hAnsi="Arial"/>
          <w:b/>
          <w:bCs/>
          <w:sz w:val="24"/>
          <w:szCs w:val="24"/>
        </w:rPr>
      </w:pPr>
      <w:r w:rsidRPr="00350BE2">
        <w:rPr>
          <w:rFonts w:ascii="Arial" w:hAnsi="Arial"/>
          <w:b/>
          <w:bCs/>
          <w:sz w:val="24"/>
          <w:szCs w:val="24"/>
        </w:rPr>
        <w:t>Budget</w:t>
      </w:r>
    </w:p>
    <w:p w14:paraId="75AA63C9" w14:textId="77777777" w:rsidR="006C452F" w:rsidRPr="00350BE2" w:rsidRDefault="006C452F" w:rsidP="006C452F">
      <w:pPr>
        <w:rPr>
          <w:rFonts w:ascii="Arial" w:hAnsi="Arial"/>
          <w:sz w:val="24"/>
          <w:szCs w:val="24"/>
        </w:rPr>
      </w:pPr>
      <w:r w:rsidRPr="00350BE2">
        <w:rPr>
          <w:rFonts w:ascii="Arial" w:hAnsi="Arial"/>
          <w:sz w:val="24"/>
          <w:szCs w:val="24"/>
        </w:rPr>
        <w:t>Budget preparation and control shall be the responsibility of the Superintendent and the Secretary-Treasurer in consultation with the Board, the public and other stakeholders.  The Board will approve the annual budget and direct the funds necessary to finance the operation of schools.  Upon Board resolution accepting the proposed budget, the Board shall, on or before March 31</w:t>
      </w:r>
      <w:r w:rsidRPr="00350BE2">
        <w:rPr>
          <w:rFonts w:ascii="Arial" w:hAnsi="Arial"/>
          <w:sz w:val="24"/>
          <w:szCs w:val="24"/>
          <w:vertAlign w:val="superscript"/>
        </w:rPr>
        <w:t>st</w:t>
      </w:r>
      <w:r w:rsidRPr="00350BE2">
        <w:rPr>
          <w:rFonts w:ascii="Arial" w:hAnsi="Arial"/>
          <w:sz w:val="24"/>
          <w:szCs w:val="24"/>
        </w:rPr>
        <w:t xml:space="preserve"> of each year, submit the ensuing year’s budget to the Minister of Education.</w:t>
      </w:r>
    </w:p>
    <w:p w14:paraId="24C31ED7" w14:textId="77777777" w:rsidR="006C452F" w:rsidRPr="00350BE2" w:rsidRDefault="006C452F" w:rsidP="006C452F">
      <w:pPr>
        <w:rPr>
          <w:rFonts w:ascii="Arial" w:hAnsi="Arial"/>
          <w:b/>
          <w:bCs/>
          <w:sz w:val="24"/>
          <w:szCs w:val="24"/>
        </w:rPr>
      </w:pPr>
      <w:r w:rsidRPr="00350BE2">
        <w:rPr>
          <w:rFonts w:ascii="Arial" w:hAnsi="Arial"/>
          <w:b/>
          <w:bCs/>
          <w:sz w:val="24"/>
          <w:szCs w:val="24"/>
        </w:rPr>
        <w:t>Audit</w:t>
      </w:r>
    </w:p>
    <w:p w14:paraId="6C82EBA7" w14:textId="77777777" w:rsidR="006C452F" w:rsidRPr="00350BE2" w:rsidRDefault="006C452F" w:rsidP="006C452F">
      <w:pPr>
        <w:rPr>
          <w:rFonts w:ascii="Arial" w:hAnsi="Arial"/>
          <w:sz w:val="24"/>
          <w:szCs w:val="24"/>
        </w:rPr>
      </w:pPr>
      <w:r w:rsidRPr="00350BE2">
        <w:rPr>
          <w:rFonts w:ascii="Arial" w:hAnsi="Arial"/>
          <w:sz w:val="24"/>
          <w:szCs w:val="24"/>
        </w:rPr>
        <w:t xml:space="preserve">The Board shall appoint an external auditor and furnish a duly audited annual financial statement and summary, available for public perusal, in compliance with The Public Schools Act.  The Board will meet annually with the external auditor to receive and review the audited financial statements, act on any recommendations for compliance, and forward copies of the audited financial statements to the Minister.  </w:t>
      </w:r>
    </w:p>
    <w:p w14:paraId="2A85EA9C" w14:textId="4781FAA8" w:rsidR="00D406CF" w:rsidRPr="00E05F5F" w:rsidRDefault="00D406CF" w:rsidP="00C8798C">
      <w:pPr>
        <w:rPr>
          <w:rFonts w:ascii="Arial" w:hAnsi="Arial"/>
          <w:sz w:val="24"/>
          <w:szCs w:val="24"/>
        </w:rPr>
      </w:pPr>
    </w:p>
    <w:sectPr w:rsidR="00D406CF" w:rsidRPr="00E05F5F" w:rsidSect="00C039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pgBorders w:offsetFrom="page">
        <w:top w:val="single" w:sz="12" w:space="24" w:color="A8D08D" w:themeColor="accent6" w:themeTint="99"/>
        <w:left w:val="single" w:sz="12" w:space="24" w:color="A8D08D" w:themeColor="accent6" w:themeTint="99"/>
        <w:bottom w:val="single" w:sz="12" w:space="24" w:color="A8D08D" w:themeColor="accent6" w:themeTint="99"/>
        <w:right w:val="single" w:sz="12" w:space="24" w:color="A8D08D" w:themeColor="accent6"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40A7" w14:textId="77777777" w:rsidR="00814BC4" w:rsidRDefault="00814BC4" w:rsidP="005D76B1">
      <w:pPr>
        <w:spacing w:after="0" w:line="240" w:lineRule="auto"/>
      </w:pPr>
      <w:r>
        <w:separator/>
      </w:r>
    </w:p>
  </w:endnote>
  <w:endnote w:type="continuationSeparator" w:id="0">
    <w:p w14:paraId="5DB33898" w14:textId="77777777" w:rsidR="00814BC4" w:rsidRDefault="00814BC4" w:rsidP="005D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eva Std">
    <w:altName w:val="Calibri"/>
    <w:panose1 w:val="020B050307050409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FB2E" w14:textId="77777777" w:rsidR="00C453E6" w:rsidRDefault="00C453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60" w:type="dxa"/>
      <w:tblInd w:w="-905" w:type="dxa"/>
      <w:tblLook w:val="04A0" w:firstRow="1" w:lastRow="0" w:firstColumn="1" w:lastColumn="0" w:noHBand="0" w:noVBand="1"/>
    </w:tblPr>
    <w:tblGrid>
      <w:gridCol w:w="3420"/>
      <w:gridCol w:w="3150"/>
      <w:gridCol w:w="3420"/>
      <w:gridCol w:w="1170"/>
    </w:tblGrid>
    <w:tr w:rsidR="0006137D" w:rsidRPr="0006137D" w14:paraId="6CA1F73B" w14:textId="77777777" w:rsidTr="000F67D8">
      <w:trPr>
        <w:trHeight w:val="620"/>
      </w:trPr>
      <w:tc>
        <w:tcPr>
          <w:tcW w:w="3420" w:type="dxa"/>
        </w:tcPr>
        <w:p w14:paraId="74E1FD01" w14:textId="77777777" w:rsidR="0006137D" w:rsidRDefault="0006137D" w:rsidP="005D76B1">
          <w:pPr>
            <w:rPr>
              <w:rFonts w:ascii="Arial" w:hAnsi="Arial" w:cs="Arial"/>
              <w:b/>
              <w:bCs/>
              <w:sz w:val="20"/>
              <w:szCs w:val="20"/>
            </w:rPr>
          </w:pPr>
          <w:r w:rsidRPr="0006137D">
            <w:rPr>
              <w:rFonts w:ascii="Arial" w:hAnsi="Arial" w:cs="Arial"/>
              <w:b/>
              <w:bCs/>
              <w:sz w:val="20"/>
              <w:szCs w:val="20"/>
            </w:rPr>
            <w:t>Date Approved:</w:t>
          </w:r>
        </w:p>
        <w:p w14:paraId="2337A191" w14:textId="58E80363" w:rsidR="003030F2" w:rsidRPr="003030F2" w:rsidRDefault="003030F2" w:rsidP="005D76B1">
          <w:pPr>
            <w:rPr>
              <w:rFonts w:ascii="Arial" w:hAnsi="Arial" w:cs="Arial"/>
              <w:bCs/>
              <w:sz w:val="20"/>
              <w:szCs w:val="20"/>
            </w:rPr>
          </w:pPr>
          <w:bookmarkStart w:id="0" w:name="_GoBack"/>
          <w:r w:rsidRPr="003030F2">
            <w:rPr>
              <w:rFonts w:ascii="Arial" w:hAnsi="Arial" w:cs="Arial"/>
              <w:bCs/>
              <w:sz w:val="20"/>
              <w:szCs w:val="20"/>
            </w:rPr>
            <w:t>June 13, 2023</w:t>
          </w:r>
          <w:bookmarkEnd w:id="0"/>
        </w:p>
      </w:tc>
      <w:tc>
        <w:tcPr>
          <w:tcW w:w="3150" w:type="dxa"/>
        </w:tcPr>
        <w:p w14:paraId="28D3DEDE" w14:textId="77777777" w:rsidR="0006137D" w:rsidRPr="0006137D" w:rsidRDefault="0006137D" w:rsidP="005D76B1">
          <w:pPr>
            <w:rPr>
              <w:rFonts w:ascii="Arial" w:hAnsi="Arial" w:cs="Arial"/>
              <w:b/>
              <w:bCs/>
              <w:sz w:val="20"/>
              <w:szCs w:val="20"/>
            </w:rPr>
          </w:pPr>
          <w:r w:rsidRPr="0006137D">
            <w:rPr>
              <w:rFonts w:ascii="Arial" w:hAnsi="Arial" w:cs="Arial"/>
              <w:b/>
              <w:bCs/>
              <w:sz w:val="20"/>
              <w:szCs w:val="20"/>
            </w:rPr>
            <w:t>Date Reviewed:</w:t>
          </w:r>
        </w:p>
        <w:p w14:paraId="283DFB56" w14:textId="2D83800B" w:rsidR="0006137D" w:rsidRPr="0006137D" w:rsidRDefault="0006137D" w:rsidP="000F67D8">
          <w:pPr>
            <w:ind w:firstLine="720"/>
            <w:rPr>
              <w:rFonts w:ascii="Arial" w:hAnsi="Arial" w:cs="Arial"/>
              <w:b/>
              <w:bCs/>
              <w:sz w:val="20"/>
              <w:szCs w:val="20"/>
            </w:rPr>
          </w:pPr>
        </w:p>
      </w:tc>
      <w:tc>
        <w:tcPr>
          <w:tcW w:w="3420" w:type="dxa"/>
        </w:tcPr>
        <w:p w14:paraId="6CDFECE7" w14:textId="5CFD000D" w:rsidR="0006137D" w:rsidRPr="0006137D" w:rsidRDefault="0006137D" w:rsidP="00C0398D">
          <w:pPr>
            <w:tabs>
              <w:tab w:val="right" w:pos="3204"/>
            </w:tabs>
            <w:rPr>
              <w:rFonts w:ascii="Arial" w:hAnsi="Arial" w:cs="Arial"/>
              <w:b/>
              <w:bCs/>
              <w:sz w:val="20"/>
              <w:szCs w:val="20"/>
            </w:rPr>
          </w:pPr>
          <w:r w:rsidRPr="0006137D">
            <w:rPr>
              <w:rFonts w:ascii="Arial" w:hAnsi="Arial" w:cs="Arial"/>
              <w:b/>
              <w:bCs/>
              <w:sz w:val="20"/>
              <w:szCs w:val="20"/>
            </w:rPr>
            <w:t>Date Revised:</w:t>
          </w:r>
          <w:r w:rsidR="00C0398D">
            <w:rPr>
              <w:rFonts w:ascii="Arial" w:hAnsi="Arial" w:cs="Arial"/>
              <w:b/>
              <w:bCs/>
              <w:sz w:val="20"/>
              <w:szCs w:val="20"/>
            </w:rPr>
            <w:tab/>
          </w:r>
        </w:p>
      </w:tc>
      <w:tc>
        <w:tcPr>
          <w:tcW w:w="1170" w:type="dxa"/>
        </w:tcPr>
        <w:p w14:paraId="5E0A6917" w14:textId="77777777" w:rsidR="0006137D" w:rsidRPr="0006137D" w:rsidRDefault="0006137D" w:rsidP="005D76B1">
          <w:pPr>
            <w:rPr>
              <w:rFonts w:ascii="Arial" w:hAnsi="Arial" w:cs="Arial"/>
              <w:b/>
              <w:bCs/>
              <w:sz w:val="20"/>
              <w:szCs w:val="20"/>
            </w:rPr>
          </w:pPr>
          <w:r w:rsidRPr="0006137D">
            <w:rPr>
              <w:rFonts w:ascii="Arial" w:hAnsi="Arial" w:cs="Arial"/>
              <w:b/>
              <w:bCs/>
              <w:sz w:val="20"/>
              <w:szCs w:val="20"/>
            </w:rPr>
            <w:t>Page</w:t>
          </w:r>
        </w:p>
        <w:p w14:paraId="659051E0" w14:textId="723A5506" w:rsidR="0006137D" w:rsidRPr="0006137D" w:rsidRDefault="0006137D" w:rsidP="005D76B1">
          <w:pPr>
            <w:rPr>
              <w:rFonts w:ascii="Arial" w:hAnsi="Arial" w:cs="Arial"/>
              <w:b/>
              <w:bCs/>
              <w:sz w:val="20"/>
              <w:szCs w:val="20"/>
            </w:rPr>
          </w:pPr>
          <w:r w:rsidRPr="0006137D">
            <w:rPr>
              <w:rFonts w:ascii="Arial" w:hAnsi="Arial" w:cs="Arial"/>
              <w:b/>
              <w:bCs/>
              <w:sz w:val="20"/>
              <w:szCs w:val="20"/>
            </w:rPr>
            <w:t>1 of 1</w:t>
          </w:r>
        </w:p>
      </w:tc>
    </w:tr>
  </w:tbl>
  <w:p w14:paraId="5EF9CDFB" w14:textId="460D22C6" w:rsidR="005D76B1" w:rsidRDefault="005D76B1" w:rsidP="000F67D8">
    <w:pPr>
      <w:pStyle w:val="Footer"/>
      <w:jc w:val="right"/>
    </w:pPr>
  </w:p>
  <w:p w14:paraId="76AB62BD" w14:textId="77777777" w:rsidR="005D76B1" w:rsidRDefault="005D76B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7E6B" w14:textId="77777777" w:rsidR="00C453E6" w:rsidRDefault="00C453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3BAEF" w14:textId="77777777" w:rsidR="00814BC4" w:rsidRDefault="00814BC4" w:rsidP="005D76B1">
      <w:pPr>
        <w:spacing w:after="0" w:line="240" w:lineRule="auto"/>
      </w:pPr>
      <w:r>
        <w:separator/>
      </w:r>
    </w:p>
  </w:footnote>
  <w:footnote w:type="continuationSeparator" w:id="0">
    <w:p w14:paraId="0658D52A" w14:textId="77777777" w:rsidR="00814BC4" w:rsidRDefault="00814BC4" w:rsidP="005D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B9A5" w14:textId="77777777" w:rsidR="00C453E6" w:rsidRDefault="00C453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C0BF" w14:textId="354C4AE3" w:rsidR="009C718D" w:rsidRDefault="00E05F5F" w:rsidP="009C718D">
    <w:pPr>
      <w:pStyle w:val="Header"/>
      <w:rPr>
        <w:rFonts w:ascii="Century" w:hAnsi="Century"/>
        <w:b/>
        <w:color w:val="00963C"/>
        <w:sz w:val="68"/>
        <w:szCs w:val="68"/>
      </w:rPr>
    </w:pPr>
    <w:r w:rsidRPr="00035C26">
      <w:rPr>
        <w:rFonts w:ascii="Nueva Std" w:hAnsi="Nueva Std" w:cs="Tahoma"/>
        <w:b/>
        <w:noProof/>
        <w:color w:val="445327"/>
      </w:rPr>
      <w:drawing>
        <wp:anchor distT="0" distB="0" distL="114300" distR="114300" simplePos="0" relativeHeight="251659264" behindDoc="0" locked="0" layoutInCell="1" allowOverlap="1" wp14:anchorId="723C385C" wp14:editId="50BC3009">
          <wp:simplePos x="0" y="0"/>
          <wp:positionH relativeFrom="column">
            <wp:posOffset>-114300</wp:posOffset>
          </wp:positionH>
          <wp:positionV relativeFrom="paragraph">
            <wp:posOffset>247650</wp:posOffset>
          </wp:positionV>
          <wp:extent cx="967385" cy="967839"/>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d\Desktop\Turtle River logo (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7385" cy="967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18D">
      <w:ptab w:relativeTo="margin" w:alignment="center" w:leader="none"/>
    </w:r>
    <w:r w:rsidR="009C718D" w:rsidRPr="009C718D">
      <w:rPr>
        <w:rFonts w:ascii="Century" w:hAnsi="Century"/>
        <w:b/>
        <w:color w:val="00963C"/>
        <w:sz w:val="68"/>
        <w:szCs w:val="68"/>
      </w:rPr>
      <w:t xml:space="preserve"> </w:t>
    </w:r>
  </w:p>
  <w:p w14:paraId="40B4D544" w14:textId="75D63215" w:rsidR="00E71250" w:rsidRDefault="00063ED4" w:rsidP="00E71250">
    <w:pPr>
      <w:pStyle w:val="Header"/>
      <w:spacing w:line="360" w:lineRule="auto"/>
      <w:rPr>
        <w:rFonts w:ascii="Century" w:hAnsi="Century"/>
        <w:b/>
        <w:color w:val="00963C"/>
        <w:sz w:val="48"/>
        <w:szCs w:val="48"/>
      </w:rPr>
    </w:pPr>
    <w:r>
      <w:rPr>
        <w:rFonts w:ascii="Century" w:hAnsi="Century"/>
        <w:b/>
        <w:color w:val="00963C"/>
        <w:sz w:val="68"/>
        <w:szCs w:val="68"/>
      </w:rPr>
      <w:tab/>
    </w:r>
    <w:r w:rsidR="009C718D" w:rsidRPr="00E71250">
      <w:rPr>
        <w:rFonts w:ascii="Century" w:hAnsi="Century"/>
        <w:b/>
        <w:color w:val="00963C"/>
        <w:sz w:val="32"/>
        <w:szCs w:val="32"/>
      </w:rPr>
      <w:t>Turtle River School Division</w:t>
    </w:r>
  </w:p>
  <w:p w14:paraId="3F1A6C58" w14:textId="2299F54F" w:rsidR="00E71250" w:rsidRDefault="00E71250" w:rsidP="00C453E6">
    <w:pPr>
      <w:jc w:val="center"/>
      <w:rPr>
        <w:rFonts w:ascii="Arial" w:hAnsi="Arial" w:cs="Arial"/>
        <w:sz w:val="28"/>
        <w:szCs w:val="28"/>
      </w:rPr>
    </w:pPr>
    <w:r w:rsidRPr="00E71250">
      <w:rPr>
        <w:rFonts w:ascii="Arial" w:hAnsi="Arial" w:cs="Arial"/>
        <w:b/>
        <w:sz w:val="28"/>
        <w:szCs w:val="28"/>
      </w:rPr>
      <w:t xml:space="preserve">BOARD POLICY </w:t>
    </w:r>
    <w:r w:rsidRPr="00E05F5F">
      <w:rPr>
        <w:rFonts w:ascii="Arial" w:hAnsi="Arial" w:cs="Arial"/>
        <w:b/>
        <w:sz w:val="28"/>
        <w:szCs w:val="28"/>
      </w:rPr>
      <w:t>#</w:t>
    </w:r>
    <w:r w:rsidR="006C452F">
      <w:rPr>
        <w:rFonts w:ascii="Arial" w:hAnsi="Arial" w:cs="Arial"/>
        <w:b/>
        <w:sz w:val="28"/>
        <w:szCs w:val="28"/>
      </w:rPr>
      <w:t>15 Fiscal Management</w:t>
    </w:r>
  </w:p>
  <w:p w14:paraId="4B83D7E2" w14:textId="432E0B17" w:rsidR="00C453E6" w:rsidRPr="00C453E6" w:rsidRDefault="00C453E6" w:rsidP="00C453E6">
    <w:pPr>
      <w:jc w:val="center"/>
      <w:rPr>
        <w:rFonts w:ascii="Arial" w:hAnsi="Arial" w:cs="Arial"/>
        <w:sz w:val="28"/>
        <w:szCs w:val="28"/>
      </w:rPr>
    </w:pPr>
    <w:r>
      <w:rPr>
        <w:rFonts w:ascii="Arial" w:hAnsi="Arial" w:cs="Arial"/>
        <w:sz w:val="28"/>
        <w:szCs w:val="28"/>
      </w:rPr>
      <w:t>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B7BCE" w14:textId="77777777" w:rsidR="00C453E6" w:rsidRDefault="00C453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10181"/>
    <w:multiLevelType w:val="hybridMultilevel"/>
    <w:tmpl w:val="B21ED4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7F6597"/>
    <w:multiLevelType w:val="hybridMultilevel"/>
    <w:tmpl w:val="823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50"/>
    <w:rsid w:val="00010693"/>
    <w:rsid w:val="0003389A"/>
    <w:rsid w:val="0006137D"/>
    <w:rsid w:val="00063ED4"/>
    <w:rsid w:val="000F67D8"/>
    <w:rsid w:val="00120297"/>
    <w:rsid w:val="00156667"/>
    <w:rsid w:val="001B3B13"/>
    <w:rsid w:val="00206120"/>
    <w:rsid w:val="002675EA"/>
    <w:rsid w:val="003030F2"/>
    <w:rsid w:val="003F4EBB"/>
    <w:rsid w:val="004811D8"/>
    <w:rsid w:val="00551F3D"/>
    <w:rsid w:val="005755F1"/>
    <w:rsid w:val="005D76B1"/>
    <w:rsid w:val="005E4DA7"/>
    <w:rsid w:val="006401B6"/>
    <w:rsid w:val="00676BDA"/>
    <w:rsid w:val="006B6AE4"/>
    <w:rsid w:val="006C452F"/>
    <w:rsid w:val="00814BC4"/>
    <w:rsid w:val="0094003F"/>
    <w:rsid w:val="0094087C"/>
    <w:rsid w:val="00961D97"/>
    <w:rsid w:val="009C718D"/>
    <w:rsid w:val="009F229E"/>
    <w:rsid w:val="00A14B50"/>
    <w:rsid w:val="00B53FBF"/>
    <w:rsid w:val="00BC7685"/>
    <w:rsid w:val="00BF31BE"/>
    <w:rsid w:val="00C0398D"/>
    <w:rsid w:val="00C453E6"/>
    <w:rsid w:val="00C8798C"/>
    <w:rsid w:val="00CB4DA5"/>
    <w:rsid w:val="00CD1B7E"/>
    <w:rsid w:val="00CE1916"/>
    <w:rsid w:val="00D406CF"/>
    <w:rsid w:val="00D45B6E"/>
    <w:rsid w:val="00E05F5F"/>
    <w:rsid w:val="00E71250"/>
    <w:rsid w:val="00EF655C"/>
    <w:rsid w:val="00F3221E"/>
    <w:rsid w:val="00FA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4F9E0"/>
  <w15:chartTrackingRefBased/>
  <w15:docId w15:val="{F676332B-0314-4F8E-9DFA-EDA1FC96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6B1"/>
  </w:style>
  <w:style w:type="paragraph" w:styleId="Footer">
    <w:name w:val="footer"/>
    <w:basedOn w:val="Normal"/>
    <w:link w:val="FooterChar"/>
    <w:uiPriority w:val="99"/>
    <w:unhideWhenUsed/>
    <w:rsid w:val="005D7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6B1"/>
  </w:style>
  <w:style w:type="table" w:styleId="TableGrid">
    <w:name w:val="Table Grid"/>
    <w:basedOn w:val="TableNormal"/>
    <w:uiPriority w:val="39"/>
    <w:rsid w:val="0006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Shannon Desjardins</cp:lastModifiedBy>
  <cp:revision>3</cp:revision>
  <cp:lastPrinted>2023-05-03T15:18:00Z</cp:lastPrinted>
  <dcterms:created xsi:type="dcterms:W3CDTF">2023-05-03T20:50:00Z</dcterms:created>
  <dcterms:modified xsi:type="dcterms:W3CDTF">2023-08-08T19:36:00Z</dcterms:modified>
</cp:coreProperties>
</file>